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8" w:rsidRDefault="00BA0C2B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BD48C8" w:rsidRDefault="00BA0C2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BD48C8" w:rsidTr="00BD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D48C8" w:rsidRDefault="00BA0C2B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D48C8" w:rsidRDefault="00BA0C2B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BD48C8" w:rsidTr="00BD48C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10 de outubro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OPA- Opção profissional por área</w:t>
            </w:r>
          </w:p>
        </w:tc>
      </w:tr>
      <w:tr w:rsidR="00BD48C8" w:rsidTr="00BD48C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</w:tr>
      <w:tr w:rsidR="00BD48C8" w:rsidTr="00BD48C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rPr>
                <w:color w:val="2E75B5"/>
              </w:rPr>
              <w:t>PÚBLICO</w:t>
            </w:r>
          </w:p>
        </w:tc>
      </w:tr>
      <w:tr w:rsidR="00BD48C8" w:rsidTr="00BD48C8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13h às 16:30h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UNIVALI- BALNEÁRIO CAMBORIÚ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240 participantes</w:t>
            </w:r>
          </w:p>
        </w:tc>
      </w:tr>
    </w:tbl>
    <w:p w:rsidR="00BD48C8" w:rsidRDefault="00BA0C2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BD48C8" w:rsidRDefault="00BA0C2B">
      <w:pPr>
        <w:jc w:val="both"/>
        <w:rPr>
          <w:color w:val="666666"/>
          <w:highlight w:val="white"/>
        </w:rPr>
      </w:pPr>
      <w:r>
        <w:rPr>
          <w:color w:val="666666"/>
          <w:highlight w:val="white"/>
        </w:rPr>
        <w:t xml:space="preserve">O OPA – Opção Profissional por Área, é um grande evento promovido pela </w:t>
      </w:r>
      <w:proofErr w:type="spellStart"/>
      <w:r>
        <w:rPr>
          <w:color w:val="666666"/>
          <w:highlight w:val="white"/>
        </w:rPr>
        <w:t>Univali</w:t>
      </w:r>
      <w:proofErr w:type="spellEnd"/>
      <w:r>
        <w:rPr>
          <w:color w:val="666666"/>
          <w:highlight w:val="white"/>
        </w:rPr>
        <w:t xml:space="preserve"> para ajudar os jovens na escolha da carreira. O curso de farmácia participou do OPA com o intuito de promover o curso, a estrutura física da instituição e as áreas de atuação do</w:t>
      </w:r>
      <w:r>
        <w:rPr>
          <w:color w:val="666666"/>
          <w:highlight w:val="white"/>
        </w:rPr>
        <w:t xml:space="preserve"> farmacêutico. Foram realizadas exposições das áreas de atuação profissional dando enfoque às áreas de Pesquisa em </w:t>
      </w:r>
      <w:proofErr w:type="spellStart"/>
      <w:r>
        <w:rPr>
          <w:color w:val="666666"/>
          <w:highlight w:val="white"/>
        </w:rPr>
        <w:t>Fitoquímica</w:t>
      </w:r>
      <w:proofErr w:type="spellEnd"/>
      <w:r>
        <w:rPr>
          <w:color w:val="666666"/>
          <w:highlight w:val="white"/>
        </w:rPr>
        <w:t>, onde mostrou-se o processo de desenvolvimento de uma planta ao medicamento, Desenvolvimento de Produtos, onde foi realizado mani</w:t>
      </w:r>
      <w:r>
        <w:rPr>
          <w:color w:val="666666"/>
          <w:highlight w:val="white"/>
        </w:rPr>
        <w:t>pulação de cremes e uma parte demonstrativa com gel e argila, Processos Analíticos, onde foram realizadas reações químicas e abordado um pouco sobre processos químicos, e Toxicologia e Análises Clínicas, onde foi demonstrado um teste para detecção de droga</w:t>
      </w:r>
      <w:r>
        <w:rPr>
          <w:color w:val="666666"/>
          <w:highlight w:val="white"/>
        </w:rPr>
        <w:t xml:space="preserve">s. </w:t>
      </w:r>
    </w:p>
    <w:p w:rsidR="00BD48C8" w:rsidRDefault="00BD48C8">
      <w:pPr>
        <w:jc w:val="both"/>
        <w:rPr>
          <w:rFonts w:ascii="Arial" w:eastAsia="Arial" w:hAnsi="Arial" w:cs="Arial"/>
          <w:color w:val="FFFFFF"/>
          <w:highlight w:val="white"/>
        </w:rPr>
      </w:pPr>
    </w:p>
    <w:p w:rsidR="00BD48C8" w:rsidRDefault="00BA0C2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rFonts w:ascii="Arial" w:eastAsia="Arial" w:hAnsi="Arial" w:cs="Arial"/>
          <w:color w:val="FFFFFF"/>
          <w:sz w:val="27"/>
          <w:szCs w:val="27"/>
          <w:highlight w:val="white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4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BD48C8" w:rsidTr="00BD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D48C8" w:rsidRDefault="00BA0C2B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>Funcionários</w:t>
            </w:r>
          </w:p>
        </w:tc>
      </w:tr>
      <w:tr w:rsidR="00BD48C8" w:rsidTr="00BD48C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D48C8" w:rsidRDefault="00BA0C2B">
            <w:pPr>
              <w:rPr>
                <w:color w:val="434343"/>
              </w:rPr>
            </w:pPr>
            <w:bookmarkStart w:id="1" w:name="_heading=h.gjdgxs" w:colFirst="0" w:colLast="0"/>
            <w:bookmarkEnd w:id="1"/>
            <w:r>
              <w:rPr>
                <w:color w:val="434343"/>
              </w:rPr>
              <w:t xml:space="preserve">Thaís </w:t>
            </w:r>
            <w:proofErr w:type="spellStart"/>
            <w:r>
              <w:rPr>
                <w:color w:val="434343"/>
              </w:rPr>
              <w:t>Savoldi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Lorenzett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A0C2B">
            <w:r>
              <w:t xml:space="preserve">Fátima de Campos </w:t>
            </w:r>
            <w:proofErr w:type="spellStart"/>
            <w:r>
              <w:t>Buzzi</w:t>
            </w:r>
            <w:proofErr w:type="spellEnd"/>
          </w:p>
        </w:tc>
      </w:tr>
      <w:tr w:rsidR="00BD48C8" w:rsidTr="00BD48C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D48C8" w:rsidRDefault="00BA0C2B">
            <w:pPr>
              <w:rPr>
                <w:color w:val="434343"/>
              </w:rPr>
            </w:pPr>
            <w:r>
              <w:rPr>
                <w:color w:val="434343"/>
              </w:rPr>
              <w:t>Lucas Natã Pereira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</w:tr>
      <w:tr w:rsidR="00BD48C8" w:rsidTr="00BD48C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D48C8" w:rsidRDefault="00BA0C2B">
            <w:pPr>
              <w:rPr>
                <w:color w:val="434343"/>
              </w:rPr>
            </w:pPr>
            <w:r>
              <w:rPr>
                <w:color w:val="434343"/>
              </w:rPr>
              <w:t>Giovanna Carolina Rodrigues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</w:tr>
      <w:tr w:rsidR="00BD48C8" w:rsidTr="00BD48C8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BD48C8" w:rsidRDefault="00BA0C2B">
            <w:pPr>
              <w:rPr>
                <w:color w:val="434343"/>
              </w:rPr>
            </w:pPr>
            <w:r>
              <w:rPr>
                <w:color w:val="434343"/>
              </w:rPr>
              <w:t>Rafaela Borchardt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BD48C8" w:rsidRDefault="00BD48C8"/>
        </w:tc>
      </w:tr>
    </w:tbl>
    <w:p w:rsidR="00BD48C8" w:rsidRDefault="00BA0C2B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BD48C8" w:rsidRDefault="00BD48C8"/>
    <w:p w:rsidR="00BD48C8" w:rsidRDefault="00BA0C2B">
      <w:r>
        <w:rPr>
          <w:noProof/>
        </w:rPr>
        <w:lastRenderedPageBreak/>
        <w:drawing>
          <wp:inline distT="114300" distB="114300" distL="114300" distR="114300">
            <wp:extent cx="3334703" cy="4451103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703" cy="4451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14926" cy="4286568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926" cy="4286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3649028" cy="2735162"/>
            <wp:effectExtent l="0" t="0" r="0" b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028" cy="2735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64932" cy="4353243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932" cy="4353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D48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C8"/>
    <w:rsid w:val="00BA0C2B"/>
    <w:rsid w:val="00B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22B41-F98D-45EB-B5CB-6B343D97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+27uXmNpJOkwAx3OsyL+rLj4oA==">AMUW2mUmGLOlrK+8z18rbdJZa18giSwQwc7fMQlzMaZYZ/EpfMxtYtYuH+fKqQSzSF4zmaJ62dzk5ND7DuUQBrRH2NZVUlMM2+yoTror2DYhY6GjHU58HWVg2a/BMvKRPKHBFqVqHFL9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Q2MPMETMKQAM-2600-201</_dlc_DocId>
    <_dlc_DocIdUrl xmlns="74605401-ef82-4e58-8e01-df55332c0536">
      <Url>https://adminnovoportal.univali.br/graduacao/farmacia-itajai/extensao/_layouts/15/DocIdRedir.aspx?ID=Q2MPMETMKQAM-2600-201</Url>
      <Description>Q2MPMETMKQAM-2600-201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FE38EF-56F4-40E0-8582-05DA51657A65}"/>
</file>

<file path=customXml/itemProps3.xml><?xml version="1.0" encoding="utf-8"?>
<ds:datastoreItem xmlns:ds="http://schemas.openxmlformats.org/officeDocument/2006/customXml" ds:itemID="{79A8A5C8-93EE-4659-987C-6D7FE3267ACA}"/>
</file>

<file path=customXml/itemProps4.xml><?xml version="1.0" encoding="utf-8"?>
<ds:datastoreItem xmlns:ds="http://schemas.openxmlformats.org/officeDocument/2006/customXml" ds:itemID="{03C610CA-634E-4C2D-BFDB-5BF87F9D675B}"/>
</file>

<file path=customXml/itemProps5.xml><?xml version="1.0" encoding="utf-8"?>
<ds:datastoreItem xmlns:ds="http://schemas.openxmlformats.org/officeDocument/2006/customXml" ds:itemID="{8A8DA42B-B2C7-42B6-AB90-2266826D7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05.10 - OPA BC</dc:title>
  <dc:creator>Marcel Petreanu</dc:creator>
  <cp:lastModifiedBy>Cinthia Lira Sant Ana Gall</cp:lastModifiedBy>
  <cp:revision>2</cp:revision>
  <dcterms:created xsi:type="dcterms:W3CDTF">2020-05-15T02:30:00Z</dcterms:created>
  <dcterms:modified xsi:type="dcterms:W3CDTF">2020-05-15T02:30:00Z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7cce5f53-727a-473e-bc12-94a2d9a8f8d9</vt:lpwstr>
  </property>
</Properties>
</file>